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40" w:after="320"/>
        <w:jc w:val="center"/>
      </w:pPr>
      <w:r>
        <w:rPr>
          <w:rFonts w:ascii="Calibri" w:hAnsi="Calibri" w:eastAsia="Microsoft YaHei"/>
          <w:b/>
          <w:color w:val="5A606E"/>
          <w:sz w:val="24"/>
        </w:rPr>
        <w:t>操作手册</w:t>
      </w:r>
    </w:p>
    <w:p>
      <w:pPr>
        <w:pStyle w:val="Title"/>
        <w:spacing w:after="160"/>
        <w:jc w:val="center"/>
      </w:pPr>
      <w:r>
        <w:rPr>
          <w:rFonts w:ascii="Calibri" w:hAnsi="Calibri" w:eastAsia="Microsoft YaHei"/>
        </w:rPr>
        <w:t>上虞利率定价系统</w:t>
      </w:r>
    </w:p>
    <w:p>
      <w:pPr>
        <w:spacing w:after="560"/>
        <w:jc w:val="center"/>
      </w:pPr>
      <w:r>
        <w:rPr>
          <w:rFonts w:ascii="Calibri" w:hAnsi="Calibri" w:eastAsia="Microsoft YaHei"/>
          <w:color w:val="1F4D78"/>
          <w:sz w:val="30"/>
        </w:rPr>
        <w:t>业务流程、用户管理与部门管理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W w:type="dxa" w:w="9360"/>
        <w:jc w:val="left"/>
        <w:tblInd w:type="dxa" w:w="120"/>
        <w:tblBorders>
          <w:top w:val="single" w:sz="4" w:space="0" w:color="D9E2EF"/>
          <w:left w:val="single" w:sz="4" w:space="0" w:color="D9E2EF"/>
          <w:bottom w:val="single" w:sz="4" w:space="0" w:color="D9E2EF"/>
          <w:right w:val="single" w:sz="4" w:space="0" w:color="D9E2EF"/>
          <w:insideH w:val="single" w:sz="4" w:space="0" w:color="D9E2EF"/>
          <w:insideV w:val="single" w:sz="4" w:space="0" w:color="D9E2EF"/>
        </w:tblBorders>
        <w:tblLayout w:type="fixed"/>
        <w:tblW w:type="dxa" w:w="9360"/>
        <w:tblInd w:type="dxa" w:w="120"/>
      </w:tblPr>
      <w:tblGrid>
        <w:gridCol w:w="1900"/>
        <w:gridCol w:w="7460"/>
      </w:tblGrid>
      <w:tr>
        <w:tc>
          <w:tcPr>
            <w:tcW w:type="dxa" w:w="3"/>
            <w:tcW w:type="dxa" w:w="1900"/>
            <w:tcMar>
              <w:top w:w="80" w:type="dxa"/>
              <w:bottom w:w="80" w:type="dxa"/>
              <w:start w:w="120" w:type="dxa"/>
              <w:end w:w="120" w:type="dxa"/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  <w:tcW w:type="dxa" w:w="1900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/>
                <w:color w:val="1F4D78"/>
                <w:sz w:val="21"/>
              </w:rPr>
              <w:t>项目</w:t>
            </w:r>
          </w:p>
        </w:tc>
        <w:tc>
          <w:tcPr>
            <w:tcW w:type="dxa" w:w="12"/>
            <w:tcW w:type="dxa" w:w="7460"/>
            <w:tcMar>
              <w:top w:w="80" w:type="dxa"/>
              <w:bottom w:w="80" w:type="dxa"/>
              <w:start w:w="120" w:type="dxa"/>
              <w:end w:w="120" w:type="dxa"/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  <w:tcW w:type="dxa" w:w="7460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/>
                <w:color w:val="1F4D78"/>
                <w:sz w:val="21"/>
              </w:rPr>
              <w:t>内容</w:t>
            </w:r>
          </w:p>
        </w:tc>
      </w:tr>
      <w:tr>
        <w:tc>
          <w:tcPr>
            <w:tcW w:type="dxa" w:w="3"/>
            <w:vAlign w:val="center"/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适用对象</w:t>
            </w:r>
          </w:p>
        </w:tc>
        <w:tc>
          <w:tcPr>
            <w:tcW w:type="dxa" w:w="12"/>
            <w:vAlign w:val="center"/>
            <w:tcW w:type="dxa" w:w="746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业务经办人员、系统管理员</w:t>
            </w:r>
          </w:p>
        </w:tc>
      </w:tr>
      <w:tr>
        <w:tc>
          <w:tcPr>
            <w:tcW w:type="dxa" w:w="3"/>
            <w:vAlign w:val="center"/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覆盖范围</w:t>
            </w:r>
          </w:p>
        </w:tc>
        <w:tc>
          <w:tcPr>
            <w:tcW w:type="dxa" w:w="12"/>
            <w:vAlign w:val="center"/>
            <w:tcW w:type="dxa" w:w="746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登录、流程列表、新增利率定价流程、流程详情、执行利率维护、用户管理、部门管理</w:t>
            </w:r>
          </w:p>
        </w:tc>
      </w:tr>
      <w:tr>
        <w:tc>
          <w:tcPr>
            <w:tcW w:type="dxa" w:w="3"/>
            <w:vAlign w:val="center"/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版本日期</w:t>
            </w:r>
          </w:p>
        </w:tc>
        <w:tc>
          <w:tcPr>
            <w:tcW w:type="dxa" w:w="12"/>
            <w:vAlign w:val="center"/>
            <w:tcW w:type="dxa" w:w="746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2026年5月9日</w:t>
            </w:r>
          </w:p>
        </w:tc>
      </w:tr>
      <w:tr>
        <w:tc>
          <w:tcPr>
            <w:tcW w:type="dxa" w:w="3"/>
            <w:vAlign w:val="center"/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系统入口</w:t>
            </w:r>
          </w:p>
        </w:tc>
        <w:tc>
          <w:tcPr>
            <w:tcW w:type="dxa" w:w="12"/>
            <w:vAlign w:val="center"/>
            <w:tcW w:type="dxa" w:w="746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以上线或部署环境地址为准，本文截图来自本地验证环境</w:t>
            </w:r>
          </w:p>
        </w:tc>
      </w:tr>
    </w:tbl>
    <w:p>
      <w:pPr>
        <w:spacing w:after="80"/>
      </w:pPr>
    </w:p>
    <w:p>
      <w:pPr>
        <w:spacing w:after="240"/>
      </w:pPr>
      <w:r>
        <w:rPr>
          <w:rFonts w:ascii="Calibri" w:hAnsi="Calibri" w:eastAsia="Microsoft YaHei"/>
          <w:color w:val="5A606E"/>
        </w:rPr>
        <w:t>本手册用于指导系统日常使用。业务数据以实际生产环境为准，截图中的客户信息已按页面展示规则脱敏。</w:t>
      </w:r>
    </w:p>
    <w:p>
      <w:pPr>
        <w:pStyle w:val="Heading1"/>
      </w:pPr>
      <w:r>
        <w:rPr>
          <w:rFonts w:ascii="Calibri" w:hAnsi="Calibri" w:eastAsia="Microsoft YaHei"/>
        </w:rPr>
        <w:t>一、文档说明</w:t>
      </w:r>
    </w:p>
    <w:p>
      <w:r>
        <w:rPr>
          <w:rFonts w:ascii="Calibri" w:hAnsi="Calibri" w:eastAsia="Microsoft YaHei"/>
        </w:rPr>
        <w:t>上虞利率定价系统用于发起个人或企业客户的贷款利率定价流程，查询客户映射信息，调用模型完成利率测算，并在详情页查看模型输出和维护最终执行利率。系统基础管理沿用若依后台管理体系，本文重点说明用户管理和部门管理两类常用后台维护功能。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W w:type="dxa" w:w="9360"/>
        <w:jc w:val="left"/>
        <w:tblInd w:type="dxa" w:w="120"/>
        <w:tblBorders>
          <w:top w:val="single" w:sz="4" w:space="0" w:color="D9E2EF"/>
          <w:left w:val="single" w:sz="4" w:space="0" w:color="D9E2EF"/>
          <w:bottom w:val="single" w:sz="4" w:space="0" w:color="D9E2EF"/>
          <w:right w:val="single" w:sz="4" w:space="0" w:color="D9E2EF"/>
          <w:insideH w:val="single" w:sz="4" w:space="0" w:color="D9E2EF"/>
          <w:insideV w:val="single" w:sz="4" w:space="0" w:color="D9E2EF"/>
        </w:tblBorders>
        <w:tblLayout w:type="fixed"/>
        <w:tblW w:type="dxa" w:w="9360"/>
        <w:tblInd w:type="dxa" w:w="120"/>
      </w:tblPr>
      <w:tblGrid>
        <w:gridCol w:w="1800"/>
        <w:gridCol w:w="4560"/>
        <w:gridCol w:w="3000"/>
      </w:tblGrid>
      <w:tr>
        <w:tc>
          <w:tcPr>
            <w:tcW w:type="dxa" w:w="3"/>
            <w:tcW w:type="dxa" w:w="1800"/>
            <w:tcMar>
              <w:top w:w="80" w:type="dxa"/>
              <w:bottom w:w="80" w:type="dxa"/>
              <w:start w:w="120" w:type="dxa"/>
              <w:end w:w="120" w:type="dxa"/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  <w:tcW w:type="dxa" w:w="1800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/>
                <w:color w:val="1F4D78"/>
                <w:sz w:val="21"/>
              </w:rPr>
              <w:t>角色</w:t>
            </w:r>
          </w:p>
        </w:tc>
        <w:tc>
          <w:tcPr>
            <w:tcW w:type="dxa" w:w="7"/>
            <w:tcW w:type="dxa" w:w="4560"/>
            <w:tcMar>
              <w:top w:w="80" w:type="dxa"/>
              <w:bottom w:w="80" w:type="dxa"/>
              <w:start w:w="120" w:type="dxa"/>
              <w:end w:w="120" w:type="dxa"/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  <w:tcW w:type="dxa" w:w="4560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/>
                <w:color w:val="1F4D78"/>
                <w:sz w:val="21"/>
              </w:rPr>
              <w:t>主要职责</w:t>
            </w:r>
          </w:p>
        </w:tc>
        <w:tc>
          <w:tcPr>
            <w:tcW w:type="dxa" w:w="5"/>
            <w:tcW w:type="dxa" w:w="3000"/>
            <w:tcMar>
              <w:top w:w="80" w:type="dxa"/>
              <w:bottom w:w="80" w:type="dxa"/>
              <w:start w:w="120" w:type="dxa"/>
              <w:end w:w="120" w:type="dxa"/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  <w:tcW w:type="dxa" w:w="3000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/>
                <w:color w:val="1F4D78"/>
                <w:sz w:val="21"/>
              </w:rPr>
              <w:t>常用菜单</w:t>
            </w:r>
          </w:p>
        </w:tc>
      </w:tr>
      <w:tr>
        <w:tc>
          <w:tcPr>
            <w:tcW w:type="dxa" w:w="3"/>
            <w:vAlign w:val="center"/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业务经办人员</w:t>
            </w:r>
          </w:p>
        </w:tc>
        <w:tc>
          <w:tcPr>
            <w:tcW w:type="dxa" w:w="7"/>
            <w:vAlign w:val="center"/>
            <w:tcW w:type="dxa" w:w="456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查询流程、发起个人或企业客户利率定价、查看测算结果、录入执行利率。</w:t>
            </w:r>
          </w:p>
        </w:tc>
        <w:tc>
          <w:tcPr>
            <w:tcW w:type="dxa" w:w="5"/>
            <w:vAlign w:val="center"/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流程列表、流程详情</w:t>
            </w:r>
          </w:p>
        </w:tc>
      </w:tr>
      <w:tr>
        <w:tc>
          <w:tcPr>
            <w:tcW w:type="dxa" w:w="3"/>
            <w:vAlign w:val="center"/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系统管理员</w:t>
            </w:r>
          </w:p>
        </w:tc>
        <w:tc>
          <w:tcPr>
            <w:tcW w:type="dxa" w:w="7"/>
            <w:vAlign w:val="center"/>
            <w:tcW w:type="dxa" w:w="456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维护系统账号、角色权限、部门组织结构，保障业务人员可以按权限使用系统。</w:t>
            </w:r>
          </w:p>
        </w:tc>
        <w:tc>
          <w:tcPr>
            <w:tcW w:type="dxa" w:w="5"/>
            <w:vAlign w:val="center"/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系统管理 &gt; 用户管理；系统管理 &gt; 部门管理</w:t>
            </w:r>
          </w:p>
        </w:tc>
      </w:tr>
    </w:tbl>
    <w:p>
      <w:pPr>
        <w:spacing w:after="80"/>
      </w:pPr>
    </w:p>
    <w:p>
      <w:pPr>
        <w:pStyle w:val="Heading1"/>
      </w:pPr>
      <w:r>
        <w:rPr>
          <w:rFonts w:ascii="Calibri" w:hAnsi="Calibri" w:eastAsia="Microsoft YaHei"/>
        </w:rPr>
        <w:t>二、登录与页面布局</w:t>
      </w:r>
    </w:p>
    <w:p>
      <w:r>
        <w:rPr>
          <w:rFonts w:ascii="Calibri" w:hAnsi="Calibri" w:eastAsia="Microsoft YaHei"/>
        </w:rPr>
        <w:t>打开系统地址后进入登录页，输入柜员号、密码和验证码后登录。登录成功后默认进入流程列表，左侧为菜单导航，顶部为页面标签和个人入口，右侧主体区域展示当前业务页面。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23560" cy="351472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logi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5147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Calibri" w:hAnsi="Calibri" w:eastAsia="Microsoft YaHei"/>
          <w:color w:val="5A606E"/>
          <w:sz w:val="19"/>
        </w:rPr>
        <w:t>图1  登录页面</w:t>
      </w:r>
    </w:p>
    <w:p>
      <w:pPr>
        <w:pStyle w:val="ListNumber"/>
        <w:spacing w:after="80" w:line="300" w:lineRule="auto"/>
        <w:ind w:left="540" w:hanging="271"/>
      </w:pPr>
      <w:r>
        <w:rPr>
          <w:rFonts w:ascii="Calibri" w:hAnsi="Calibri" w:eastAsia="Microsoft YaHei"/>
        </w:rPr>
        <w:t>在登录页输入柜员号、密码和验证码。</w:t>
      </w:r>
    </w:p>
    <w:p>
      <w:pPr>
        <w:pStyle w:val="ListNumber"/>
        <w:spacing w:after="80" w:line="300" w:lineRule="auto"/>
        <w:ind w:left="540" w:hanging="271"/>
      </w:pPr>
      <w:r>
        <w:rPr>
          <w:rFonts w:ascii="Calibri" w:hAnsi="Calibri" w:eastAsia="Microsoft YaHei"/>
        </w:rPr>
        <w:t>点击“登录”进入系统。</w:t>
      </w:r>
    </w:p>
    <w:p>
      <w:pPr>
        <w:pStyle w:val="ListNumber"/>
        <w:spacing w:after="80" w:line="300" w:lineRule="auto"/>
        <w:ind w:left="540" w:hanging="271"/>
      </w:pPr>
      <w:r>
        <w:rPr>
          <w:rFonts w:ascii="Calibri" w:hAnsi="Calibri" w:eastAsia="Microsoft YaHei"/>
        </w:rPr>
        <w:t>如账号无权限或被停用，联系系统管理员在用户管理中核查账号状态、角色和所属部门。</w:t>
      </w:r>
    </w:p>
    <w:p>
      <w:pPr>
        <w:pStyle w:val="Heading1"/>
      </w:pPr>
      <w:r>
        <w:rPr>
          <w:rFonts w:ascii="Calibri" w:hAnsi="Calibri" w:eastAsia="Microsoft YaHei"/>
        </w:rPr>
        <w:t>三、主要业务流程</w:t>
      </w:r>
    </w:p>
    <w:p>
      <w:r>
        <w:rPr>
          <w:rFonts w:ascii="Calibri" w:hAnsi="Calibri" w:eastAsia="Microsoft YaHei"/>
        </w:rPr>
        <w:t>利率定价的主线流程为：进入流程列表，点击新增，选择客户类型，查询并选择客户号映射记录，填写定价信息并提交，系统保存流程并调用模型生成测算结果，最后在流程详情中查看输出并维护执行利率。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W w:type="dxa" w:w="9360"/>
        <w:jc w:val="left"/>
        <w:tblInd w:type="dxa" w:w="120"/>
        <w:tblBorders>
          <w:top w:val="single" w:sz="4" w:space="0" w:color="D9E2EF"/>
          <w:left w:val="single" w:sz="4" w:space="0" w:color="D9E2EF"/>
          <w:bottom w:val="single" w:sz="4" w:space="0" w:color="D9E2EF"/>
          <w:right w:val="single" w:sz="4" w:space="0" w:color="D9E2EF"/>
          <w:insideH w:val="single" w:sz="4" w:space="0" w:color="D9E2EF"/>
          <w:insideV w:val="single" w:sz="4" w:space="0" w:color="D9E2EF"/>
        </w:tblBorders>
        <w:tblLayout w:type="fixed"/>
        <w:tblW w:type="dxa" w:w="9360"/>
        <w:tblInd w:type="dxa" w:w="120"/>
      </w:tblPr>
      <w:tblGrid>
        <w:gridCol w:w="900"/>
        <w:gridCol w:w="2000"/>
        <w:gridCol w:w="3300"/>
        <w:gridCol w:w="3160"/>
      </w:tblGrid>
      <w:tr>
        <w:tc>
          <w:tcPr>
            <w:tcW w:type="dxa" w:w="1"/>
            <w:tcW w:type="dxa" w:w="900"/>
            <w:tcMar>
              <w:top w:w="80" w:type="dxa"/>
              <w:bottom w:w="80" w:type="dxa"/>
              <w:start w:w="120" w:type="dxa"/>
              <w:end w:w="120" w:type="dxa"/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  <w:tcW w:type="dxa" w:w="900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/>
                <w:color w:val="1F4D78"/>
                <w:sz w:val="21"/>
              </w:rPr>
              <w:t>步骤</w:t>
            </w:r>
          </w:p>
        </w:tc>
        <w:tc>
          <w:tcPr>
            <w:tcW w:type="dxa" w:w="3"/>
            <w:tcW w:type="dxa" w:w="2000"/>
            <w:tcMar>
              <w:top w:w="80" w:type="dxa"/>
              <w:bottom w:w="80" w:type="dxa"/>
              <w:start w:w="120" w:type="dxa"/>
              <w:end w:w="120" w:type="dxa"/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  <w:tcW w:type="dxa" w:w="2000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/>
                <w:color w:val="1F4D78"/>
                <w:sz w:val="21"/>
              </w:rPr>
              <w:t>操作</w:t>
            </w:r>
          </w:p>
        </w:tc>
        <w:tc>
          <w:tcPr>
            <w:tcW w:type="dxa" w:w="5"/>
            <w:tcW w:type="dxa" w:w="3300"/>
            <w:tcMar>
              <w:top w:w="80" w:type="dxa"/>
              <w:bottom w:w="80" w:type="dxa"/>
              <w:start w:w="120" w:type="dxa"/>
              <w:end w:w="120" w:type="dxa"/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  <w:tcW w:type="dxa" w:w="3300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/>
                <w:color w:val="1F4D78"/>
                <w:sz w:val="21"/>
              </w:rPr>
              <w:t>系统结果</w:t>
            </w:r>
          </w:p>
        </w:tc>
        <w:tc>
          <w:tcPr>
            <w:tcW w:type="dxa" w:w="5"/>
            <w:tcW w:type="dxa" w:w="3160"/>
            <w:tcMar>
              <w:top w:w="80" w:type="dxa"/>
              <w:bottom w:w="80" w:type="dxa"/>
              <w:start w:w="120" w:type="dxa"/>
              <w:end w:w="120" w:type="dxa"/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  <w:tcW w:type="dxa" w:w="3160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/>
                <w:color w:val="1F4D78"/>
                <w:sz w:val="21"/>
              </w:rPr>
              <w:t>关键注意事项</w:t>
            </w:r>
          </w:p>
        </w:tc>
      </w:tr>
      <w:tr>
        <w:tc>
          <w:tcPr>
            <w:tcW w:type="dxa" w:w="1"/>
            <w:vAlign w:val="center"/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1</w:t>
            </w:r>
          </w:p>
        </w:tc>
        <w:tc>
          <w:tcPr>
            <w:tcW w:type="dxa" w:w="3"/>
            <w:vAlign w:val="center"/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进入“流程列表”</w:t>
            </w:r>
          </w:p>
        </w:tc>
        <w:tc>
          <w:tcPr>
            <w:tcW w:type="dxa" w:w="5"/>
            <w:vAlign w:val="center"/>
            <w:tcW w:type="dxa" w:w="33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展示已发起的利率定价流程，可按客户内码、创建者、机构号查询。</w:t>
            </w:r>
          </w:p>
        </w:tc>
        <w:tc>
          <w:tcPr>
            <w:tcW w:type="dxa" w:w="5"/>
            <w:vAlign w:val="center"/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列表中的客户名称按脱敏规则展示。</w:t>
            </w:r>
          </w:p>
        </w:tc>
      </w:tr>
      <w:tr>
        <w:tc>
          <w:tcPr>
            <w:tcW w:type="dxa" w:w="1"/>
            <w:vAlign w:val="center"/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2</w:t>
            </w:r>
          </w:p>
        </w:tc>
        <w:tc>
          <w:tcPr>
            <w:tcW w:type="dxa" w:w="3"/>
            <w:vAlign w:val="center"/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点击“新增”并选择客户类型</w:t>
            </w:r>
          </w:p>
        </w:tc>
        <w:tc>
          <w:tcPr>
            <w:tcW w:type="dxa" w:w="5"/>
            <w:vAlign w:val="center"/>
            <w:tcW w:type="dxa" w:w="33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弹出个人客户或企业客户入口。</w:t>
            </w:r>
          </w:p>
        </w:tc>
        <w:tc>
          <w:tcPr>
            <w:tcW w:type="dxa" w:w="5"/>
            <w:vAlign w:val="center"/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客户类型决定后续表单字段和模型调用链路。</w:t>
            </w:r>
          </w:p>
        </w:tc>
      </w:tr>
      <w:tr>
        <w:tc>
          <w:tcPr>
            <w:tcW w:type="dxa" w:w="1"/>
            <w:vAlign w:val="center"/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3</w:t>
            </w:r>
          </w:p>
        </w:tc>
        <w:tc>
          <w:tcPr>
            <w:tcW w:type="dxa" w:w="3"/>
            <w:vAlign w:val="center"/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输入客户号并查询</w:t>
            </w:r>
          </w:p>
        </w:tc>
        <w:tc>
          <w:tcPr>
            <w:tcW w:type="dxa" w:w="5"/>
            <w:vAlign w:val="center"/>
            <w:tcW w:type="dxa" w:w="33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展示客户内码、客户名称、用信天数、存款年日均、历史贷款次数等映射信息。</w:t>
            </w:r>
          </w:p>
        </w:tc>
        <w:tc>
          <w:tcPr>
            <w:tcW w:type="dxa" w:w="5"/>
            <w:vAlign w:val="center"/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必须先选择客户映射记录，客户内码和客户名称会自动带入创建表单。</w:t>
            </w:r>
          </w:p>
        </w:tc>
      </w:tr>
      <w:tr>
        <w:tc>
          <w:tcPr>
            <w:tcW w:type="dxa" w:w="1"/>
            <w:vAlign w:val="center"/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4</w:t>
            </w:r>
          </w:p>
        </w:tc>
        <w:tc>
          <w:tcPr>
            <w:tcW w:type="dxa" w:w="3"/>
            <w:vAlign w:val="center"/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填写定价信息并确认</w:t>
            </w:r>
          </w:p>
        </w:tc>
        <w:tc>
          <w:tcPr>
            <w:tcW w:type="dxa" w:w="5"/>
            <w:vAlign w:val="center"/>
            <w:tcW w:type="dxa" w:w="33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系统校验必填项，提交后生成业务方流水号并调用模型。</w:t>
            </w:r>
          </w:p>
        </w:tc>
        <w:tc>
          <w:tcPr>
            <w:tcW w:type="dxa" w:w="5"/>
            <w:vAlign w:val="center"/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抵押、质押会出现抵质押类型；存量转贷需要选择历史贷款合同并带入历史贷款利率。</w:t>
            </w:r>
          </w:p>
        </w:tc>
      </w:tr>
      <w:tr>
        <w:tc>
          <w:tcPr>
            <w:tcW w:type="dxa" w:w="1"/>
            <w:vAlign w:val="center"/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5</w:t>
            </w:r>
          </w:p>
        </w:tc>
        <w:tc>
          <w:tcPr>
            <w:tcW w:type="dxa" w:w="3"/>
            <w:vAlign w:val="center"/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查看详情并维护执行利率</w:t>
            </w:r>
          </w:p>
        </w:tc>
        <w:tc>
          <w:tcPr>
            <w:tcW w:type="dxa" w:w="5"/>
            <w:vAlign w:val="center"/>
            <w:tcW w:type="dxa" w:w="33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展示关键信息、模型输出、流程详情和议价池信息。</w:t>
            </w:r>
          </w:p>
        </w:tc>
        <w:tc>
          <w:tcPr>
            <w:tcW w:type="dxa" w:w="5"/>
            <w:vAlign w:val="center"/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执行利率需录入 0 到 100 之间的有效数值。</w:t>
            </w:r>
          </w:p>
        </w:tc>
      </w:tr>
    </w:tbl>
    <w:p>
      <w:pPr>
        <w:spacing w:after="80"/>
      </w:pPr>
    </w:p>
    <w:p>
      <w:pPr>
        <w:pStyle w:val="Heading2"/>
      </w:pPr>
      <w:r>
        <w:rPr>
          <w:rFonts w:ascii="Calibri" w:hAnsi="Calibri" w:eastAsia="Microsoft YaHei"/>
        </w:rPr>
        <w:t>3.1 流程列表查询</w:t>
      </w:r>
    </w:p>
    <w:p>
      <w:r>
        <w:rPr>
          <w:rFonts w:ascii="Calibri" w:hAnsi="Calibri" w:eastAsia="Microsoft YaHei"/>
        </w:rPr>
        <w:t>流程列表是业务人员的主工作台。页面上方提供客户内码、创建者、机构号等查询条件；列表展示业务方流水号、客户名称、客户类型、担保方式、申请金额、测算利率、执行利率、创建时间和创建者。点击“查看”进入流程详情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23560" cy="351472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workflow-list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5147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Calibri" w:hAnsi="Calibri" w:eastAsia="Microsoft YaHei"/>
          <w:color w:val="5A606E"/>
          <w:sz w:val="19"/>
        </w:rPr>
        <w:t>图2  流程列表页面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搜索：填写查询条件后点击“搜索”，系统按条件刷新列表。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重置：清空查询条件并恢复默认列表。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新增：进入利率定价发起流程。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查看：进入指定业务方流水号的流程详情页。</w:t>
      </w:r>
    </w:p>
    <w:p>
      <w:pPr>
        <w:pStyle w:val="Heading2"/>
      </w:pPr>
      <w:r>
        <w:rPr>
          <w:rFonts w:ascii="Calibri" w:hAnsi="Calibri" w:eastAsia="Microsoft YaHei"/>
        </w:rPr>
        <w:t>3.2 新增流程：选择客户类型</w:t>
      </w:r>
    </w:p>
    <w:p>
      <w:r>
        <w:rPr>
          <w:rFonts w:ascii="Calibri" w:hAnsi="Calibri" w:eastAsia="Microsoft YaHei"/>
        </w:rPr>
        <w:t>点击“新增”后先选择客户类型。个人客户进入个人定价表单，企业客户进入企业定价表单。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23560" cy="351472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customer-typ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5147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Calibri" w:hAnsi="Calibri" w:eastAsia="Microsoft YaHei"/>
          <w:color w:val="5A606E"/>
          <w:sz w:val="19"/>
        </w:rPr>
        <w:t>图3  选择客户类型</w:t>
      </w:r>
    </w:p>
    <w:p>
      <w:pPr>
        <w:pStyle w:val="Heading2"/>
      </w:pPr>
      <w:r>
        <w:rPr>
          <w:rFonts w:ascii="Calibri" w:hAnsi="Calibri" w:eastAsia="Microsoft YaHei"/>
        </w:rPr>
        <w:t>3.3 客户号查询与客户映射选择</w:t>
      </w:r>
    </w:p>
    <w:p>
      <w:r>
        <w:rPr>
          <w:rFonts w:ascii="Calibri" w:hAnsi="Calibri" w:eastAsia="Microsoft YaHei"/>
        </w:rPr>
        <w:t>选择客户类型后，输入客户号并点击“查询”。系统返回客户映射记录，业务人员确认客户内码和客户名称后点击“选择”。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23560" cy="351472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customer-map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5147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Calibri" w:hAnsi="Calibri" w:eastAsia="Microsoft YaHei"/>
          <w:color w:val="5A606E"/>
          <w:sz w:val="19"/>
        </w:rPr>
        <w:t>图4  客户号查询与客户映射选择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客户号不能为空，否则系统会提示“请输入客户号”。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未查询到客户信息时，应核对客户号或确认外部客户映射接口是否返回数据。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选择记录后，客户内码和客户名称自动带入新增表单，避免手工录入错误。</w:t>
      </w:r>
    </w:p>
    <w:p>
      <w:pPr>
        <w:pStyle w:val="Heading2"/>
      </w:pPr>
      <w:r>
        <w:rPr>
          <w:rFonts w:ascii="Calibri" w:hAnsi="Calibri" w:eastAsia="Microsoft YaHei"/>
        </w:rPr>
        <w:t>3.4 填写个人或企业定价信息</w:t>
      </w:r>
    </w:p>
    <w:p>
      <w:r>
        <w:rPr>
          <w:rFonts w:ascii="Calibri" w:hAnsi="Calibri" w:eastAsia="Microsoft YaHei"/>
        </w:rPr>
        <w:t>新增表单按客户类型展示不同字段。个人客户重点填写证件信息、担保方式、申请金额、贷款用途、借款期限、业务种类、经营佐证和循环功能；企业客户重点填写证件信息、担保方式、申请金额、贷款期限、业务种类，以及绿色贷款、贸易和建筑业企业等企业标识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23560" cy="351472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personal-creat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5147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Calibri" w:hAnsi="Calibri" w:eastAsia="Microsoft YaHei"/>
          <w:color w:val="5A606E"/>
          <w:sz w:val="19"/>
        </w:rPr>
        <w:t>图5  新增个人利率定价流程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W w:type="dxa" w:w="9360"/>
        <w:jc w:val="left"/>
        <w:tblInd w:type="dxa" w:w="120"/>
        <w:tblBorders>
          <w:top w:val="single" w:sz="4" w:space="0" w:color="D9E2EF"/>
          <w:left w:val="single" w:sz="4" w:space="0" w:color="D9E2EF"/>
          <w:bottom w:val="single" w:sz="4" w:space="0" w:color="D9E2EF"/>
          <w:right w:val="single" w:sz="4" w:space="0" w:color="D9E2EF"/>
          <w:insideH w:val="single" w:sz="4" w:space="0" w:color="D9E2EF"/>
          <w:insideV w:val="single" w:sz="4" w:space="0" w:color="D9E2EF"/>
        </w:tblBorders>
        <w:tblLayout w:type="fixed"/>
        <w:tblW w:type="dxa" w:w="9360"/>
        <w:tblInd w:type="dxa" w:w="120"/>
      </w:tblPr>
      <w:tblGrid>
        <w:gridCol w:w="1700"/>
        <w:gridCol w:w="3830"/>
        <w:gridCol w:w="3830"/>
      </w:tblGrid>
      <w:tr>
        <w:tc>
          <w:tcPr>
            <w:tcW w:type="dxa" w:w="3"/>
            <w:tcW w:type="dxa" w:w="1700"/>
            <w:tcMar>
              <w:top w:w="80" w:type="dxa"/>
              <w:bottom w:w="80" w:type="dxa"/>
              <w:start w:w="120" w:type="dxa"/>
              <w:end w:w="120" w:type="dxa"/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  <w:tcW w:type="dxa" w:w="1700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/>
                <w:color w:val="1F4D78"/>
                <w:sz w:val="21"/>
              </w:rPr>
              <w:t>字段/场景</w:t>
            </w:r>
          </w:p>
        </w:tc>
        <w:tc>
          <w:tcPr>
            <w:tcW w:type="dxa" w:w="6"/>
            <w:tcW w:type="dxa" w:w="3830"/>
            <w:tcMar>
              <w:top w:w="80" w:type="dxa"/>
              <w:bottom w:w="80" w:type="dxa"/>
              <w:start w:w="120" w:type="dxa"/>
              <w:end w:w="120" w:type="dxa"/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  <w:tcW w:type="dxa" w:w="3830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/>
                <w:color w:val="1F4D78"/>
                <w:sz w:val="21"/>
              </w:rPr>
              <w:t>个人客户</w:t>
            </w:r>
          </w:p>
        </w:tc>
        <w:tc>
          <w:tcPr>
            <w:tcW w:type="dxa" w:w="6"/>
            <w:tcW w:type="dxa" w:w="3830"/>
            <w:tcMar>
              <w:top w:w="80" w:type="dxa"/>
              <w:bottom w:w="80" w:type="dxa"/>
              <w:start w:w="120" w:type="dxa"/>
              <w:end w:w="120" w:type="dxa"/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  <w:tcW w:type="dxa" w:w="3830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/>
                <w:color w:val="1F4D78"/>
                <w:sz w:val="21"/>
              </w:rPr>
              <w:t>企业客户</w:t>
            </w:r>
          </w:p>
        </w:tc>
      </w:tr>
      <w:tr>
        <w:tc>
          <w:tcPr>
            <w:tcW w:type="dxa" w:w="3"/>
            <w:vAlign w:val="center"/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自动带入</w:t>
            </w:r>
          </w:p>
        </w:tc>
        <w:tc>
          <w:tcPr>
            <w:tcW w:type="dxa" w:w="6"/>
            <w:vAlign w:val="center"/>
            <w:tcW w:type="dxa" w:w="383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客户内码、客户名称</w:t>
            </w:r>
          </w:p>
        </w:tc>
        <w:tc>
          <w:tcPr>
            <w:tcW w:type="dxa" w:w="6"/>
            <w:vAlign w:val="center"/>
            <w:tcW w:type="dxa" w:w="383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客户内码、客户名称</w:t>
            </w:r>
          </w:p>
        </w:tc>
      </w:tr>
      <w:tr>
        <w:tc>
          <w:tcPr>
            <w:tcW w:type="dxa" w:w="3"/>
            <w:vAlign w:val="center"/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证件信息</w:t>
            </w:r>
          </w:p>
        </w:tc>
        <w:tc>
          <w:tcPr>
            <w:tcW w:type="dxa" w:w="6"/>
            <w:vAlign w:val="center"/>
            <w:tcW w:type="dxa" w:w="383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证件类型、证件号码</w:t>
            </w:r>
          </w:p>
        </w:tc>
        <w:tc>
          <w:tcPr>
            <w:tcW w:type="dxa" w:w="6"/>
            <w:vAlign w:val="center"/>
            <w:tcW w:type="dxa" w:w="383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统一社会信用代码或其他证件类型、证件号码</w:t>
            </w:r>
          </w:p>
        </w:tc>
      </w:tr>
      <w:tr>
        <w:tc>
          <w:tcPr>
            <w:tcW w:type="dxa" w:w="3"/>
            <w:vAlign w:val="center"/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贷款信息</w:t>
            </w:r>
          </w:p>
        </w:tc>
        <w:tc>
          <w:tcPr>
            <w:tcW w:type="dxa" w:w="6"/>
            <w:vAlign w:val="center"/>
            <w:tcW w:type="dxa" w:w="383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担保方式、申请金额、贷款用途、借款期限、业务种类</w:t>
            </w:r>
          </w:p>
        </w:tc>
        <w:tc>
          <w:tcPr>
            <w:tcW w:type="dxa" w:w="6"/>
            <w:vAlign w:val="center"/>
            <w:tcW w:type="dxa" w:w="383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担保方式、申请金额、贷款期限、业务种类</w:t>
            </w:r>
          </w:p>
        </w:tc>
      </w:tr>
      <w:tr>
        <w:tc>
          <w:tcPr>
            <w:tcW w:type="dxa" w:w="3"/>
            <w:vAlign w:val="center"/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业务开关</w:t>
            </w:r>
          </w:p>
        </w:tc>
        <w:tc>
          <w:tcPr>
            <w:tcW w:type="dxa" w:w="6"/>
            <w:vAlign w:val="center"/>
            <w:tcW w:type="dxa" w:w="383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是否有经营佐证、循环功能</w:t>
            </w:r>
          </w:p>
        </w:tc>
        <w:tc>
          <w:tcPr>
            <w:tcW w:type="dxa" w:w="6"/>
            <w:vAlign w:val="center"/>
            <w:tcW w:type="dxa" w:w="383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绿色贷款、贸易和建筑业企业</w:t>
            </w:r>
          </w:p>
        </w:tc>
      </w:tr>
      <w:tr>
        <w:tc>
          <w:tcPr>
            <w:tcW w:type="dxa" w:w="3"/>
            <w:vAlign w:val="center"/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抵质押信息</w:t>
            </w:r>
          </w:p>
        </w:tc>
        <w:tc>
          <w:tcPr>
            <w:tcW w:type="dxa" w:w="6"/>
            <w:vAlign w:val="center"/>
            <w:tcW w:type="dxa" w:w="383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担保方式为抵押或质押时填写抵质押类型和是否第三方所有</w:t>
            </w:r>
          </w:p>
        </w:tc>
        <w:tc>
          <w:tcPr>
            <w:tcW w:type="dxa" w:w="6"/>
            <w:vAlign w:val="center"/>
            <w:tcW w:type="dxa" w:w="383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担保方式为抵押或质押时填写抵质押类型和是否第三方所有</w:t>
            </w:r>
          </w:p>
        </w:tc>
      </w:tr>
      <w:tr>
        <w:tc>
          <w:tcPr>
            <w:tcW w:type="dxa" w:w="3"/>
            <w:vAlign w:val="center"/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存量转贷</w:t>
            </w:r>
          </w:p>
        </w:tc>
        <w:tc>
          <w:tcPr>
            <w:tcW w:type="dxa" w:w="6"/>
            <w:vAlign w:val="center"/>
            <w:tcW w:type="dxa" w:w="383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选择历史贷款合同，带入历史贷款利率</w:t>
            </w:r>
          </w:p>
        </w:tc>
        <w:tc>
          <w:tcPr>
            <w:tcW w:type="dxa" w:w="6"/>
            <w:vAlign w:val="center"/>
            <w:tcW w:type="dxa" w:w="3830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21"/>
              </w:rPr>
              <w:t>选择历史贷款合同，带入历史贷款利率</w:t>
            </w:r>
          </w:p>
        </w:tc>
      </w:tr>
    </w:tbl>
    <w:p>
      <w:pPr>
        <w:spacing w:after="80"/>
      </w:pPr>
    </w:p>
    <w:p>
      <w:pPr>
        <w:pStyle w:val="Heading2"/>
      </w:pPr>
      <w:r>
        <w:rPr>
          <w:rFonts w:ascii="Calibri" w:hAnsi="Calibri" w:eastAsia="Microsoft YaHei"/>
        </w:rPr>
        <w:t>3.5 查看详情与维护执行利率</w:t>
      </w:r>
    </w:p>
    <w:p>
      <w:r>
        <w:rPr>
          <w:rFonts w:ascii="Calibri" w:hAnsi="Calibri" w:eastAsia="Microsoft YaHei"/>
        </w:rPr>
        <w:t>流程提交后，系统在详情页展示关键信息、模型输出、流程详情和议价池。业务人员可在“执行利率”输入框录入最终执行利率并点击“确定”。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23560" cy="351472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workflow-detail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5147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Calibri" w:hAnsi="Calibri" w:eastAsia="Microsoft YaHei"/>
          <w:color w:val="5A606E"/>
          <w:sz w:val="19"/>
        </w:rPr>
        <w:t>图6  流程详情与模型输出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关键信息用于快速核对业务方流水号、客户名称、客户类型、申请金额、基准利率、浮动 BP 和最终测算利率。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模型输出区域展示忠诚度、贡献度、关联度、企业类别、贷款特征、风险度等模型明细。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流程详情区域展示本次发起时填写的业务字段。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执行利率录入后会回写到流程，列表中同步展示。</w:t>
      </w:r>
    </w:p>
    <w:p>
      <w:pPr>
        <w:pStyle w:val="Heading1"/>
      </w:pPr>
      <w:r>
        <w:rPr>
          <w:rFonts w:ascii="Calibri" w:hAnsi="Calibri" w:eastAsia="Microsoft YaHei"/>
        </w:rPr>
        <w:t>四、用户管理</w:t>
      </w:r>
    </w:p>
    <w:p>
      <w:r>
        <w:rPr>
          <w:rFonts w:ascii="Calibri" w:hAnsi="Calibri" w:eastAsia="Microsoft YaHei"/>
        </w:rPr>
        <w:t>用户管理用于维护登录系统的柜员账号、所属部门、角色和状态。入口为“系统管理 &gt; 用户管理”。左侧部门树可按组织过滤用户，右侧列表展示柜员号、用户昵称、部门、手机号码、状态和创建时间。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23560" cy="351472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user-management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5147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Calibri" w:hAnsi="Calibri" w:eastAsia="Microsoft YaHei"/>
          <w:color w:val="5A606E"/>
          <w:sz w:val="19"/>
        </w:rPr>
        <w:t>图7  用户管理页面</w:t>
      </w:r>
    </w:p>
    <w:p>
      <w:pPr>
        <w:pStyle w:val="Heading2"/>
      </w:pPr>
      <w:r>
        <w:rPr>
          <w:rFonts w:ascii="Calibri" w:hAnsi="Calibri" w:eastAsia="Microsoft YaHei"/>
        </w:rPr>
        <w:t>4.1 查询用户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按柜员号、手机号码、状态、创建时间进行查询。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点击左侧部门树节点，可以过滤该部门下的用户。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点击“重置”清空查询条件并恢复用户列表。</w:t>
      </w:r>
    </w:p>
    <w:p>
      <w:pPr>
        <w:pStyle w:val="Heading2"/>
      </w:pPr>
      <w:r>
        <w:rPr>
          <w:rFonts w:ascii="Calibri" w:hAnsi="Calibri" w:eastAsia="Microsoft YaHei"/>
        </w:rPr>
        <w:t>4.2 新增或修改用户</w:t>
      </w:r>
    </w:p>
    <w:p>
      <w:pPr>
        <w:pStyle w:val="ListNumber"/>
        <w:spacing w:after="80" w:line="300" w:lineRule="auto"/>
        <w:ind w:left="540" w:hanging="271"/>
      </w:pPr>
      <w:r>
        <w:rPr>
          <w:rFonts w:ascii="Calibri" w:hAnsi="Calibri" w:eastAsia="Microsoft YaHei"/>
        </w:rPr>
        <w:t>点击“新增”打开用户配置窗口；修改已有用户时，选中用户后点击“修改”或点击行内“修改”。</w:t>
      </w:r>
    </w:p>
    <w:p>
      <w:pPr>
        <w:pStyle w:val="ListNumber"/>
        <w:spacing w:after="80" w:line="300" w:lineRule="auto"/>
        <w:ind w:left="540" w:hanging="271"/>
      </w:pPr>
      <w:r>
        <w:rPr>
          <w:rFonts w:ascii="Calibri" w:hAnsi="Calibri" w:eastAsia="Microsoft YaHei"/>
        </w:rPr>
        <w:t>填写用户昵称、归属部门、手机号码、邮箱、柜员号、用户密码、性别、状态、岗位、角色和备注。</w:t>
      </w:r>
    </w:p>
    <w:p>
      <w:pPr>
        <w:pStyle w:val="ListNumber"/>
        <w:spacing w:after="80" w:line="300" w:lineRule="auto"/>
        <w:ind w:left="540" w:hanging="271"/>
      </w:pPr>
      <w:r>
        <w:rPr>
          <w:rFonts w:ascii="Calibri" w:hAnsi="Calibri" w:eastAsia="Microsoft YaHei"/>
        </w:rPr>
        <w:t>确认角色和部门无误后点击“确定”保存。</w:t>
      </w:r>
    </w:p>
    <w:p>
      <w:pPr>
        <w:pStyle w:val="Heading2"/>
      </w:pPr>
      <w:r>
        <w:rPr>
          <w:rFonts w:ascii="Calibri" w:hAnsi="Calibri" w:eastAsia="Microsoft YaHei"/>
        </w:rPr>
        <w:t>4.3 其他维护操作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删除：删除不再使用的用户账号，删除前需确认账号确实不再承担业务操作。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状态：通过状态开关停用或启用用户。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导入/导出：批量维护用户数据，导入前可下载模板。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重置密码：在行内“更多”中重置用户密码。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分配角色：在行内“更多”中进入角色分配页面，控制用户可见菜单和操作权限。</w:t>
      </w:r>
    </w:p>
    <w:p>
      <w:pPr>
        <w:pStyle w:val="Heading1"/>
      </w:pPr>
      <w:r>
        <w:rPr>
          <w:rFonts w:ascii="Calibri" w:hAnsi="Calibri" w:eastAsia="Microsoft YaHei"/>
        </w:rPr>
        <w:t>五、部门管理</w:t>
      </w:r>
    </w:p>
    <w:p>
      <w:r>
        <w:rPr>
          <w:rFonts w:ascii="Calibri" w:hAnsi="Calibri" w:eastAsia="Microsoft YaHei"/>
        </w:rPr>
        <w:t>部门管理用于维护系统组织机构树。入口为“系统管理 &gt; 部门管理”。部门结构会影响用户归属、角色数据范围以及业务人员在用户管理中的部门过滤。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23560" cy="351472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dept-management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5147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Calibri" w:hAnsi="Calibri" w:eastAsia="Microsoft YaHei"/>
          <w:color w:val="5A606E"/>
          <w:sz w:val="19"/>
        </w:rPr>
        <w:t>图8  部门管理页面</w:t>
      </w:r>
    </w:p>
    <w:p>
      <w:pPr>
        <w:pStyle w:val="Heading2"/>
      </w:pPr>
      <w:r>
        <w:rPr>
          <w:rFonts w:ascii="Calibri" w:hAnsi="Calibri" w:eastAsia="Microsoft YaHei"/>
        </w:rPr>
        <w:t>5.1 查询与查看部门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按部门名称和状态查询部门。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点击“展开/折叠”切换部门树展示层级。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列表展示部门名称、排序、状态、创建时间和操作入口。</w:t>
      </w:r>
    </w:p>
    <w:p>
      <w:pPr>
        <w:pStyle w:val="Heading2"/>
      </w:pPr>
      <w:r>
        <w:rPr>
          <w:rFonts w:ascii="Calibri" w:hAnsi="Calibri" w:eastAsia="Microsoft YaHei"/>
        </w:rPr>
        <w:t>5.2 新增或修改部门</w:t>
      </w:r>
    </w:p>
    <w:p>
      <w:pPr>
        <w:pStyle w:val="ListNumber"/>
        <w:spacing w:after="80" w:line="300" w:lineRule="auto"/>
        <w:ind w:left="540" w:hanging="271"/>
      </w:pPr>
      <w:r>
        <w:rPr>
          <w:rFonts w:ascii="Calibri" w:hAnsi="Calibri" w:eastAsia="Microsoft YaHei"/>
        </w:rPr>
        <w:t>点击顶部“新增”创建一级或指定上级部门下的新部门；也可在某一行点击“新增”创建其下级部门。</w:t>
      </w:r>
    </w:p>
    <w:p>
      <w:pPr>
        <w:pStyle w:val="ListNumber"/>
        <w:spacing w:after="80" w:line="300" w:lineRule="auto"/>
        <w:ind w:left="540" w:hanging="271"/>
      </w:pPr>
      <w:r>
        <w:rPr>
          <w:rFonts w:ascii="Calibri" w:hAnsi="Calibri" w:eastAsia="Microsoft YaHei"/>
        </w:rPr>
        <w:t>填写上级部门、部门名称、显示排序、负责人、联系电话、邮箱和部门状态。</w:t>
      </w:r>
    </w:p>
    <w:p>
      <w:pPr>
        <w:pStyle w:val="ListNumber"/>
        <w:spacing w:after="80" w:line="300" w:lineRule="auto"/>
        <w:ind w:left="540" w:hanging="271"/>
      </w:pPr>
      <w:r>
        <w:rPr>
          <w:rFonts w:ascii="Calibri" w:hAnsi="Calibri" w:eastAsia="Microsoft YaHei"/>
        </w:rPr>
        <w:t>点击“确定”保存；如部门名称、排序、电话或邮箱校验不通过，按页面提示修正后再提交。</w:t>
      </w:r>
    </w:p>
    <w:p>
      <w:pPr>
        <w:pStyle w:val="Heading2"/>
      </w:pPr>
      <w:r>
        <w:rPr>
          <w:rFonts w:ascii="Calibri" w:hAnsi="Calibri" w:eastAsia="Microsoft YaHei"/>
        </w:rPr>
        <w:t>5.3 删除部门</w:t>
      </w:r>
    </w:p>
    <w:p>
      <w:r>
        <w:rPr>
          <w:rFonts w:ascii="Calibri" w:hAnsi="Calibri" w:eastAsia="Microsoft YaHei"/>
        </w:rPr>
        <w:t>删除部门前应确认该部门下没有需要保留的子部门和用户。对仍承担数据权限或用户归属的部门，不建议直接删除，应先完成用户调整或部门停用。</w:t>
      </w:r>
    </w:p>
    <w:p>
      <w:pPr>
        <w:pStyle w:val="Heading1"/>
      </w:pPr>
      <w:r>
        <w:rPr>
          <w:rFonts w:ascii="Calibri" w:hAnsi="Calibri" w:eastAsia="Microsoft YaHei"/>
        </w:rPr>
        <w:t>六、日常使用注意事项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新增定价流程前，先确认客户号准确，避免选择错误客户映射记录。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业务种类选择“存量转贷”时，必须选择历史贷款合同并确认历史贷款利率不为空。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担保方式选择抵押或质押时，需填写抵质押类型；质押场景可选择存单质押或其他。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执行利率只在流程详情页维护，录入完成后回到列表核对执行利率是否更新。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用户权限异常时，优先检查账号状态、所属部门、岗位和角色。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</w:rPr>
        <w:t>组织机构调整后，及时核对用户归属部门，避免影响数据范围和部门树过滤。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5A606E"/>
        <w:sz w:val="18"/>
      </w:rPr>
      <w:t xml:space="preserve">第 </w:t>
    </w:r>
    <w:r>
      <w:rPr>
        <w:rFonts w:ascii="Calibri" w:hAnsi="Calibri" w:eastAsia="Microsoft YaHei"/>
      </w:rPr>
      <w:fldChar w:fldCharType="begin"/>
      <w:instrText xml:space="preserve">PAGE</w:instrText>
      <w:fldChar w:fldCharType="end"/>
    </w:r>
    <w:r>
      <w:rPr>
        <w:rFonts w:ascii="Calibri" w:hAnsi="Calibri" w:eastAsia="Microsoft YaHei"/>
        <w:color w:val="5A606E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 w:eastAsia="Microsoft YaHei"/>
        <w:color w:val="5A606E"/>
        <w:sz w:val="19"/>
      </w:rPr>
      <w:t>上虞利率定价系统操作手册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300" w:lineRule="auto" w:before="0"/>
      <w:contextualSpacing/>
    </w:pPr>
    <w:rPr>
      <w:rFonts w:asciiTheme="majorHAnsi" w:eastAsiaTheme="majorEastAsia" w:hAnsiTheme="majorHAnsi" w:cstheme="majorBidi" w:ascii="Calibri" w:hAnsi="Calibri" w:eastAsia="Microsoft YaHei"/>
      <w:b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